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E2" w:rsidRDefault="00A1605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iCs/>
          <w:sz w:val="28"/>
          <w:szCs w:val="28"/>
        </w:rPr>
        <w:t>коррупциогенные факторы</w:t>
      </w:r>
      <w:r w:rsidRPr="005F071E">
        <w:rPr>
          <w:i/>
          <w:iCs/>
          <w:sz w:val="28"/>
          <w:szCs w:val="28"/>
        </w:rPr>
        <w:t xml:space="preserve"> –</w:t>
      </w:r>
      <w:r w:rsidRPr="005F071E">
        <w:rPr>
          <w:sz w:val="28"/>
          <w:szCs w:val="28"/>
        </w:rPr>
        <w:t>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4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>коррупционно-опасных функций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>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AA6" w:rsidRDefault="00BA2AA6" w:rsidP="00200F49">
      <w:r>
        <w:separator/>
      </w:r>
    </w:p>
  </w:endnote>
  <w:endnote w:type="continuationSeparator" w:id="1">
    <w:p w:rsidR="00BA2AA6" w:rsidRDefault="00BA2AA6" w:rsidP="0020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AA6" w:rsidRDefault="00BA2AA6" w:rsidP="00200F49">
      <w:r>
        <w:separator/>
      </w:r>
    </w:p>
  </w:footnote>
  <w:footnote w:type="continuationSeparator" w:id="1">
    <w:p w:rsidR="00BA2AA6" w:rsidRDefault="00BA2AA6" w:rsidP="00200F49">
      <w:r>
        <w:continuationSeparator/>
      </w:r>
    </w:p>
  </w:footnote>
  <w:footnote w:id="2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3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4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E2" w:rsidRDefault="00DC5BFA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2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E2" w:rsidRDefault="00DC5BFA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2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6347">
      <w:rPr>
        <w:rStyle w:val="a7"/>
        <w:noProof/>
      </w:rPr>
      <w:t>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4462A"/>
    <w:rsid w:val="0015510A"/>
    <w:rsid w:val="00157AE6"/>
    <w:rsid w:val="00174F00"/>
    <w:rsid w:val="00175536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46347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6180B"/>
    <w:rsid w:val="00B706FF"/>
    <w:rsid w:val="00B91276"/>
    <w:rsid w:val="00BA2AA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1A87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C5BFA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9067-5FB7-4BA7-9530-2251538F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4102</Words>
  <Characters>23387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Андронников Игорь Геннадьевич</dc:creator>
  <cp:lastModifiedBy>Нова</cp:lastModifiedBy>
  <cp:revision>2</cp:revision>
  <cp:lastPrinted>2014-12-24T07:30:00Z</cp:lastPrinted>
  <dcterms:created xsi:type="dcterms:W3CDTF">2018-11-12T07:41:00Z</dcterms:created>
  <dcterms:modified xsi:type="dcterms:W3CDTF">2018-11-12T07:41:00Z</dcterms:modified>
</cp:coreProperties>
</file>