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C6" w:rsidRPr="003C30C6" w:rsidRDefault="003C30C6" w:rsidP="000514D7">
      <w:pPr>
        <w:shd w:val="clear" w:color="auto" w:fill="FFFFFF"/>
        <w:spacing w:line="240" w:lineRule="auto"/>
        <w:ind w:left="567" w:right="200" w:firstLine="851"/>
        <w:jc w:val="center"/>
        <w:rPr>
          <w:rFonts w:eastAsia="Times New Roman"/>
          <w:b/>
          <w:color w:val="auto"/>
          <w:lang w:eastAsia="ru-RU"/>
        </w:rPr>
      </w:pPr>
      <w:r w:rsidRPr="000514D7">
        <w:rPr>
          <w:rFonts w:eastAsia="Times New Roman"/>
          <w:b/>
          <w:bCs/>
          <w:color w:val="auto"/>
          <w:lang w:eastAsia="ru-RU"/>
        </w:rPr>
        <w:t>ПАМЯТКА</w:t>
      </w:r>
    </w:p>
    <w:p w:rsidR="003C30C6" w:rsidRPr="003C30C6" w:rsidRDefault="003C30C6" w:rsidP="000514D7">
      <w:pPr>
        <w:shd w:val="clear" w:color="auto" w:fill="FFFFFF"/>
        <w:spacing w:line="240" w:lineRule="auto"/>
        <w:ind w:left="567" w:right="200" w:firstLine="851"/>
        <w:jc w:val="center"/>
        <w:rPr>
          <w:rFonts w:eastAsia="Times New Roman"/>
          <w:b/>
          <w:color w:val="auto"/>
          <w:lang w:eastAsia="ru-RU"/>
        </w:rPr>
      </w:pPr>
      <w:r w:rsidRPr="003C30C6">
        <w:rPr>
          <w:rFonts w:eastAsia="Times New Roman"/>
          <w:b/>
          <w:color w:val="auto"/>
          <w:lang w:eastAsia="ru-RU"/>
        </w:rPr>
        <w:t>ПО НАЛОГУ НА ИМУЩЕСТВО ФИЗИЧЕСКИХ ЛИЦ</w:t>
      </w:r>
    </w:p>
    <w:p w:rsidR="003C30C6" w:rsidRPr="003C30C6" w:rsidRDefault="003C30C6" w:rsidP="000514D7">
      <w:pPr>
        <w:shd w:val="clear" w:color="auto" w:fill="FFFFFF"/>
        <w:spacing w:line="240" w:lineRule="auto"/>
        <w:ind w:left="567" w:right="200" w:firstLine="85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3C30C6">
        <w:rPr>
          <w:rFonts w:eastAsia="Times New Roman"/>
          <w:b/>
          <w:color w:val="auto"/>
          <w:lang w:eastAsia="ru-RU"/>
        </w:rPr>
        <w:t>ИСХОДЯ ИЗ КАДАСТРОВОЙ СТОИМОСТИ ОБЪЕКТОВ НАЛОГООБЛОЖЕНИЯ</w:t>
      </w:r>
    </w:p>
    <w:p w:rsidR="003C30C6" w:rsidRPr="003C30C6" w:rsidRDefault="003C30C6" w:rsidP="000514D7">
      <w:pPr>
        <w:shd w:val="clear" w:color="auto" w:fill="FFFFFF"/>
        <w:spacing w:line="240" w:lineRule="auto"/>
        <w:ind w:left="567" w:right="200" w:firstLine="85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3C30C6">
        <w:rPr>
          <w:rFonts w:eastAsia="Times New Roman"/>
          <w:color w:val="auto"/>
          <w:sz w:val="24"/>
          <w:szCs w:val="24"/>
          <w:lang w:eastAsia="ru-RU"/>
        </w:rPr>
        <w:t> </w:t>
      </w:r>
    </w:p>
    <w:tbl>
      <w:tblPr>
        <w:tblW w:w="1561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"/>
        <w:gridCol w:w="3928"/>
        <w:gridCol w:w="10773"/>
        <w:gridCol w:w="20"/>
        <w:gridCol w:w="405"/>
        <w:gridCol w:w="20"/>
      </w:tblGrid>
      <w:tr w:rsidR="003C30C6" w:rsidRPr="003C30C6" w:rsidTr="000514D7">
        <w:trPr>
          <w:gridAfter w:val="2"/>
          <w:wAfter w:w="425" w:type="dxa"/>
          <w:trHeight w:val="108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054100"/>
                  <wp:effectExtent l="19050" t="0" r="0" b="0"/>
                  <wp:docPr id="1" name="Рисунок 1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им86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НАЛОГОПЛАТЕЛЬЩИКИ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after="0"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Физические лица – собственники объектов налогообложения.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04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625600"/>
                  <wp:effectExtent l="19050" t="0" r="0" b="0"/>
                  <wp:docPr id="2" name="Рисунок 2" descr="http://minfin.donland.ru/_files/Image/nalog/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fin.donland.ru/_files/Image/nalog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ОБЪЕКТ НАЛОГООБЛОЖЕНИЯ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344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1) жилой дом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2) жилое помещение (квартира, комната),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3) гараж, машино-место,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4) единый недвижимый комплекс,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5) объект незавершенного строительства,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6) иные здание, строение, сооружение, помещение.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К жилым домам в том числе относятся дома и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hyperlink r:id="rId9" w:history="1">
              <w:r w:rsidRPr="000514D7">
                <w:rPr>
                  <w:rFonts w:eastAsia="Times New Roman"/>
                  <w:color w:val="auto"/>
                  <w:u w:val="single"/>
                  <w:lang w:eastAsia="ru-RU"/>
                </w:rPr>
                <w:t>жилые строения</w:t>
              </w:r>
            </w:hyperlink>
            <w:r w:rsidRPr="003C30C6">
              <w:rPr>
                <w:rFonts w:eastAsia="Times New Roman"/>
                <w:color w:val="auto"/>
                <w:lang w:eastAsia="ru-RU"/>
              </w:rPr>
              <w:t xml:space="preserve">, расположенные на земельных </w:t>
            </w: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Не признается объектом налогообложения имущество, входящее в состав общего имущества многоквартирного дома.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04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041400" cy="977900"/>
                  <wp:effectExtent l="19050" t="0" r="635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нимок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НАЛОГОВАЯ БАЗА И ВЫЧЕТЫ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344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Налоговая база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определяется как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кадастровая стоимость объекта налогообложения.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При этом установлены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налоговые вычеты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в отношении: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 квартиры – кадастровая стоимость уменьшается на величину кадастровой стоимости 20 м</w:t>
            </w:r>
            <w:r w:rsidRPr="003C30C6">
              <w:rPr>
                <w:rFonts w:eastAsia="Times New Roman"/>
                <w:color w:val="auto"/>
                <w:vertAlign w:val="superscript"/>
                <w:lang w:eastAsia="ru-RU"/>
              </w:rPr>
              <w:t>2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общей площади этой квартиры;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 комнаты – кадастровая стоимость уменьшается на величину кадастровой  стоимости 10 м</w:t>
            </w:r>
            <w:r w:rsidRPr="003C30C6">
              <w:rPr>
                <w:rFonts w:eastAsia="Times New Roman"/>
                <w:color w:val="auto"/>
                <w:vertAlign w:val="superscript"/>
                <w:lang w:eastAsia="ru-RU"/>
              </w:rPr>
              <w:t>2</w:t>
            </w:r>
            <w:r w:rsidRPr="000514D7">
              <w:rPr>
                <w:rFonts w:eastAsia="Times New Roman"/>
                <w:color w:val="auto"/>
                <w:vertAlign w:val="superscript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 площади этой комнаты;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 жилого дома – кадастровая стоимость уменьшается на величину кадастровой стоимости 50 м</w:t>
            </w:r>
            <w:r w:rsidRPr="003C30C6">
              <w:rPr>
                <w:rFonts w:eastAsia="Times New Roman"/>
                <w:color w:val="auto"/>
                <w:vertAlign w:val="superscript"/>
                <w:lang w:eastAsia="ru-RU"/>
              </w:rPr>
              <w:t>2</w:t>
            </w:r>
            <w:r w:rsidRPr="000514D7">
              <w:rPr>
                <w:rFonts w:eastAsia="Times New Roman"/>
                <w:color w:val="auto"/>
                <w:vertAlign w:val="superscript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общей площади этого жилого дома;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 единого недвижимого комплекса, в состав которого входит хотя бы одно жилое помещение (жилой дом) – кадастровая стоимость уменьшается на один миллион рублей.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В случае, если объект налогообложения находится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в общей долевой собственности</w:t>
            </w:r>
            <w:r w:rsidRPr="003C30C6">
              <w:rPr>
                <w:rFonts w:eastAsia="Times New Roman"/>
                <w:color w:val="auto"/>
                <w:lang w:eastAsia="ru-RU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В случае, если объект налогообложения находится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в общей совместной собственности</w:t>
            </w:r>
            <w:r w:rsidRPr="003C30C6">
              <w:rPr>
                <w:rFonts w:eastAsia="Times New Roman"/>
                <w:color w:val="auto"/>
                <w:lang w:eastAsia="ru-RU"/>
              </w:rPr>
              <w:t>, налог исчисляется для каждого из участников совместной собственности в равных долях.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Представительные органы муниципальных образований вправе увеличивать размеры налоговых вычетов.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В случае,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8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180" w:lineRule="atLeast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003300"/>
                  <wp:effectExtent l="19050" t="0" r="0" b="0"/>
                  <wp:docPr id="4" name="Рисунок 4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ним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180" w:lineRule="atLeast"/>
              <w:ind w:left="567" w:right="2007" w:firstLine="851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НАЛОГОВЫЕ  СТАВКИ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180" w:lineRule="atLeast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418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Налоговые ставки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устанавливаются представительными органами поселений и городских округов</w:t>
            </w:r>
            <w:r w:rsidRPr="003C30C6">
              <w:rPr>
                <w:rFonts w:eastAsia="Times New Roman"/>
                <w:color w:val="auto"/>
                <w:lang w:eastAsia="ru-RU"/>
              </w:rPr>
              <w:t>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Налоговым кодексом Российской Федерации ставки определены: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1)  0,1 процента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в отношении: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жилых домов, жилых помещений;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гаражей и машино-мест;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      </w: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личного подсобного, дачного хозяйства, огородничества, садоводства или индивидуального жилищного строительства;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2)  2,0 процента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3C30C6">
              <w:rPr>
                <w:rFonts w:eastAsia="Times New Roman"/>
                <w:color w:val="auto"/>
                <w:lang w:eastAsia="ru-RU"/>
              </w:rPr>
              <w:t>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3C30C6" w:rsidRPr="003C30C6" w:rsidRDefault="003C30C6" w:rsidP="000514D7">
            <w:pPr>
              <w:spacing w:before="100" w:beforeAutospacing="1" w:after="100" w:afterAutospacing="1" w:line="240" w:lineRule="auto"/>
              <w:ind w:left="567" w:right="2007" w:firstLine="851"/>
              <w:jc w:val="both"/>
              <w:outlineLvl w:val="1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3)  0,5 процента в отношении прочих объектов налогообложения.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Представительными органами муниципальных образований</w:t>
            </w:r>
            <w:r w:rsidRPr="000514D7">
              <w:rPr>
                <w:rFonts w:eastAsia="Times New Roman"/>
                <w:color w:val="auto"/>
                <w:lang w:eastAsia="ru-RU"/>
              </w:rPr>
              <w:t> 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налоговые ставки, </w:t>
            </w:r>
            <w:r w:rsidRPr="003C30C6">
              <w:rPr>
                <w:rFonts w:eastAsia="Times New Roman"/>
                <w:color w:val="auto"/>
                <w:lang w:eastAsia="ru-RU"/>
              </w:rPr>
              <w:t>за исключением указанных в пунктах 2 и 3,</w:t>
            </w:r>
            <w:r w:rsidRPr="000514D7">
              <w:rPr>
                <w:rFonts w:eastAsia="Times New Roman"/>
                <w:b/>
                <w:bCs/>
                <w:color w:val="auto"/>
                <w:lang w:eastAsia="ru-RU"/>
              </w:rPr>
              <w:t> могут быть уменьшены до нуля или увеличены, но не более чем в три раза.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7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130300"/>
                  <wp:effectExtent l="19050" t="0" r="0" b="0"/>
                  <wp:docPr id="5" name="Рисунок 5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нимо53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-567" w:right="1305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ЛЬГОТЫ ПО УПЛАТЕ НАЛОГА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102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Льготы</w:t>
            </w:r>
            <w:r w:rsidRPr="003C30C6">
              <w:rPr>
                <w:rFonts w:eastAsia="Times New Roman"/>
                <w:color w:val="auto"/>
                <w:lang w:eastAsia="ru-RU"/>
              </w:rPr>
              <w:t>, освобождающие от уплаты налога, установлены Налоговым </w:t>
            </w:r>
            <w:hyperlink r:id="rId13" w:history="1">
              <w:r w:rsidRPr="003C30C6">
                <w:rPr>
                  <w:rFonts w:eastAsia="Times New Roman"/>
                  <w:color w:val="auto"/>
                  <w:u w:val="single"/>
                  <w:lang w:eastAsia="ru-RU"/>
                </w:rPr>
                <w:t>кодексом</w:t>
              </w:r>
            </w:hyperlink>
            <w:r w:rsidRPr="003C30C6">
              <w:rPr>
                <w:rFonts w:eastAsia="Times New Roman"/>
                <w:color w:val="auto"/>
                <w:lang w:eastAsia="ru-RU"/>
              </w:rPr>
              <w:t> Российской Федерации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в отношении 15 категорий налогоплательщиков</w:t>
            </w:r>
            <w:r w:rsidRPr="003C30C6">
              <w:rPr>
                <w:rFonts w:eastAsia="Times New Roman"/>
                <w:color w:val="auto"/>
                <w:lang w:eastAsia="ru-RU"/>
              </w:rPr>
              <w:t>: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1) Герои Советского Союза и Герои Российской Федерации, а также лица, награжденные орденом Славы трех степеней;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2) инвалиды I и II групп инвалидности;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3) инвалиды с детства;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 xml:space="preserve"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</w:t>
            </w: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учреждениях, входивших в состав действующей армии, и бывших партизан, а также ветераны боевых действий;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6) лица, имеющие право на получение социальной поддержки в соответствии с </w:t>
            </w:r>
            <w:hyperlink r:id="rId14" w:history="1">
              <w:r w:rsidRPr="003C30C6">
                <w:rPr>
                  <w:rFonts w:eastAsia="Times New Roman"/>
                  <w:color w:val="auto"/>
                  <w:u w:val="single"/>
                  <w:lang w:eastAsia="ru-RU"/>
                </w:rPr>
                <w:t>Законом</w:t>
              </w:r>
            </w:hyperlink>
            <w:r w:rsidRPr="003C30C6">
              <w:rPr>
                <w:rFonts w:eastAsia="Times New Roman"/>
                <w:color w:val="auto"/>
                <w:lang w:eastAsia="ru-RU"/>
              </w:rPr>
              <w:t> 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 xml:space="preserve">11) граждане, уволенные с военной службы или призывавшиеся на военные сборы, выполнявшие </w:t>
            </w: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интернациональный долг в Афганистане и других странах, в которых велись боевые действия;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14) физические лица, осуществляющие профессиональную творческую деятельность, –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– на период такого их использования;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15) физические лица –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Представительные органы муниципальных образований вправе устанавливать дополнительные льготы.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Льготы предоставляются в отношении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одного</w:t>
            </w:r>
            <w:r w:rsidRPr="003C30C6">
              <w:rPr>
                <w:rFonts w:eastAsia="Times New Roman"/>
                <w:color w:val="auto"/>
                <w:lang w:eastAsia="ru-RU"/>
              </w:rPr>
              <w:t> объекта налогообложения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каждого вида</w:t>
            </w:r>
            <w:r w:rsidRPr="003C30C6">
              <w:rPr>
                <w:rFonts w:eastAsia="Times New Roman"/>
                <w:color w:val="auto"/>
                <w:lang w:eastAsia="ru-RU"/>
              </w:rPr>
              <w:t> по выбору налогоплательщика вне зависимости от количества оснований для применения налоговых льгот.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Лицо, имеющее право на налоговую льготу, представляет </w:t>
            </w:r>
            <w:hyperlink r:id="rId15" w:history="1">
              <w:r w:rsidRPr="003C30C6">
                <w:rPr>
                  <w:rFonts w:eastAsia="Times New Roman"/>
                  <w:color w:val="auto"/>
                  <w:u w:val="single"/>
                  <w:lang w:eastAsia="ru-RU"/>
                </w:rPr>
                <w:t>заявление</w:t>
              </w:r>
            </w:hyperlink>
            <w:r w:rsidRPr="003C30C6">
              <w:rPr>
                <w:rFonts w:eastAsia="Times New Roman"/>
                <w:color w:val="auto"/>
                <w:lang w:eastAsia="ru-RU"/>
              </w:rPr>
              <w:t> 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Уведомление</w:t>
            </w:r>
            <w:r w:rsidRPr="003C30C6">
              <w:rPr>
                <w:rFonts w:eastAsia="Times New Roman"/>
                <w:color w:val="auto"/>
                <w:lang w:eastAsia="ru-RU"/>
              </w:rPr>
              <w:t> 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 w:rsidRPr="003C30C6">
              <w:rPr>
                <w:rFonts w:eastAsia="Times New Roman"/>
                <w:color w:val="auto"/>
                <w:lang w:eastAsia="ru-RU"/>
              </w:rPr>
              <w:t>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 xml:space="preserve">При непредставлении налогоплательщиком, имеющим право на налоговую льготу, уведомления </w:t>
            </w:r>
            <w:r w:rsidRPr="003C30C6">
              <w:rPr>
                <w:rFonts w:eastAsia="Times New Roman"/>
                <w:color w:val="auto"/>
                <w:lang w:eastAsia="ru-RU"/>
              </w:rPr>
              <w:lastRenderedPageBreak/>
              <w:t>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Налоговая льгота предоставляется в отношении объекта налогообложения,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не используемого налогоплательщиком в предпринимательской деятельности</w:t>
            </w:r>
            <w:r w:rsidRPr="003C30C6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00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244600"/>
                  <wp:effectExtent l="19050" t="0" r="0" b="0"/>
                  <wp:docPr id="6" name="Рисунок 6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РАСЧЕТ НАЛОГА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18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Понижающие коэффициенты применяются в первые четыре налоговых периода.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Полная сумма налога будет уплачиваться только через пять лет</w:t>
            </w:r>
            <w:r w:rsidRPr="003C30C6">
              <w:rPr>
                <w:rFonts w:eastAsia="Times New Roman"/>
                <w:color w:val="auto"/>
                <w:lang w:eastAsia="ru-RU"/>
              </w:rPr>
              <w:t>.</w:t>
            </w:r>
          </w:p>
          <w:p w:rsidR="003C30C6" w:rsidRPr="003C30C6" w:rsidRDefault="003C30C6" w:rsidP="000514D7">
            <w:pPr>
              <w:spacing w:line="180" w:lineRule="atLeast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Расчет налога проводится по формуле: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180" w:lineRule="atLeast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3"/>
          <w:wAfter w:w="445" w:type="dxa"/>
          <w:trHeight w:val="2460"/>
          <w:tblCellSpacing w:w="0" w:type="dxa"/>
        </w:trPr>
        <w:tc>
          <w:tcPr>
            <w:tcW w:w="15168" w:type="dxa"/>
            <w:gridSpan w:val="3"/>
            <w:shd w:val="clear" w:color="auto" w:fill="FFFFFF"/>
            <w:vAlign w:val="center"/>
            <w:hideMark/>
          </w:tcPr>
          <w:p w:rsidR="007205FA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8191500" cy="1498600"/>
                  <wp:effectExtent l="19050" t="0" r="0" b="0"/>
                  <wp:docPr id="7" name="Рисунок 7" descr="http://minfin.donland.ru/_files/Image/nalog/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nfin.donland.ru/_files/Image/nalog/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0C6" w:rsidRPr="003C30C6" w:rsidTr="000514D7">
        <w:trPr>
          <w:gridAfter w:val="2"/>
          <w:wAfter w:w="425" w:type="dxa"/>
          <w:trHeight w:val="36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1" w:type="dxa"/>
            <w:gridSpan w:val="2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где понижающий коэффициент: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0,2 – применяется в первом году введения налога,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0,4 – во втором году введения налога,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0,6 – в третьем году,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0,8 – в четвертом году.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В случае если сумма налога исходя из инвентаризационной стоимости выше суммы налога исходя из кадастровой стоимости, сумма налога, подлежащая уплате, исчисляется исходя из кадастровой стоимости без учета понижающего коэффициента.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Для расчета налога на сайте ФНС России действует «Налоговый калькулятор».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2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079500" cy="1054100"/>
                  <wp:effectExtent l="19050" t="0" r="6350" b="0"/>
                  <wp:docPr id="8" name="Рисунок 8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ним22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ОСНОВАНИЯ УПЛАТЫ НАЛОГА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364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Налог уплачивается на основании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налогового уведомления</w:t>
            </w:r>
            <w:r w:rsidRPr="003C30C6">
              <w:rPr>
                <w:rFonts w:eastAsia="Times New Roman"/>
                <w:color w:val="auto"/>
                <w:lang w:eastAsia="ru-RU"/>
              </w:rPr>
              <w:t>, направляемого налогоплательщику налоговым органом </w:t>
            </w: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путем размещения в «Личном кабинете налогоплательщика»</w:t>
            </w:r>
            <w:r w:rsidRPr="003C30C6">
              <w:rPr>
                <w:rFonts w:eastAsia="Times New Roman"/>
                <w:color w:val="auto"/>
                <w:lang w:eastAsia="ru-RU"/>
              </w:rPr>
              <w:t>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1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092200" cy="1066800"/>
                  <wp:effectExtent l="19050" t="0" r="0" b="0"/>
                  <wp:docPr id="9" name="Рисунок 9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нимо3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СРОКИ УПЛАТЫ НАЛОГА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16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bCs/>
                <w:color w:val="auto"/>
                <w:lang w:eastAsia="ru-RU"/>
              </w:rPr>
              <w:t>Не позднее 1 декабря</w:t>
            </w:r>
            <w:r w:rsidRPr="003C30C6">
              <w:rPr>
                <w:rFonts w:eastAsia="Times New Roman"/>
                <w:color w:val="auto"/>
                <w:lang w:eastAsia="ru-RU"/>
              </w:rPr>
              <w:t> года, следующего за истекшим налоговым периодом (например, за 2018 год – срок уплаты не позднее 01.12.2019).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3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889000"/>
                  <wp:effectExtent l="19050" t="0" r="6350" b="0"/>
                  <wp:docPr id="10" name="Рисунок 10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8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ИНФОРМАЦИЯ О КАДАСТРОВОЙ СТОИМОСТИ   ОБЪЕКТОВ НЕДВИЖИМОСТИ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29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Результаты утверждены постановлением Правительства Ростовской области от 27.12.2016 № 881.</w:t>
            </w:r>
          </w:p>
          <w:p w:rsidR="003C30C6" w:rsidRPr="003C30C6" w:rsidRDefault="003C30C6" w:rsidP="000514D7">
            <w:pPr>
              <w:spacing w:line="240" w:lineRule="auto"/>
              <w:ind w:left="567" w:right="2007" w:firstLine="851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Ознакомиться можно на официальном сайте Правительства Ростовской области в подразделе «Кадастровая оценка» раздела «Экономика»; на сайте Росреестра по Ростовской области </w:t>
            </w:r>
            <w:hyperlink r:id="rId21" w:history="1">
              <w:r w:rsidRPr="003C30C6">
                <w:rPr>
                  <w:rFonts w:eastAsia="Times New Roman"/>
                  <w:color w:val="auto"/>
                  <w:u w:val="single"/>
                  <w:lang w:eastAsia="ru-RU"/>
                </w:rPr>
                <w:t>«Кадастровая стоимость онлайн»</w:t>
              </w:r>
            </w:hyperlink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32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68400" cy="685800"/>
                  <wp:effectExtent l="19050" t="0" r="0" b="0"/>
                  <wp:docPr id="11" name="Рисунок 11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КАК ОСПОРИТЬ КАДАСТРОВУЮ СТОИМОСТЬ ОБЪЕКТОВ НЕДВИЖИМОСТИ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346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before="100" w:beforeAutospacing="1" w:after="100" w:afterAutospacing="1" w:line="240" w:lineRule="auto"/>
              <w:ind w:left="567" w:right="2007" w:firstLine="708"/>
              <w:jc w:val="both"/>
              <w:outlineLvl w:val="1"/>
              <w:rPr>
                <w:rFonts w:eastAsia="Times New Roman"/>
                <w:bCs/>
                <w:color w:val="auto"/>
                <w:lang w:eastAsia="ru-RU"/>
              </w:rPr>
            </w:pPr>
            <w:r w:rsidRPr="003C30C6">
              <w:rPr>
                <w:rFonts w:eastAsia="Times New Roman"/>
                <w:bCs/>
                <w:color w:val="auto"/>
                <w:lang w:eastAsia="ru-RU"/>
              </w:rPr>
              <w:t>Оспаривание результатов кадастровой оценки может быть осуществлено двумя способами: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3C30C6">
              <w:rPr>
                <w:rFonts w:eastAsia="Times New Roman"/>
                <w:bCs/>
                <w:color w:val="auto"/>
                <w:lang w:eastAsia="ru-RU"/>
              </w:rPr>
              <w:t>в комиссии при территориальном органе Росреестра;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3C30C6">
              <w:rPr>
                <w:rFonts w:eastAsia="Times New Roman"/>
                <w:bCs/>
                <w:color w:val="auto"/>
                <w:lang w:eastAsia="ru-RU"/>
              </w:rPr>
              <w:t>подача иска в суд.</w:t>
            </w:r>
          </w:p>
          <w:p w:rsidR="003C30C6" w:rsidRPr="003C30C6" w:rsidRDefault="003C30C6" w:rsidP="000514D7">
            <w:pPr>
              <w:spacing w:before="100" w:beforeAutospacing="1" w:after="100" w:afterAutospacing="1" w:line="240" w:lineRule="auto"/>
              <w:ind w:left="567" w:right="2007" w:firstLine="708"/>
              <w:jc w:val="both"/>
              <w:outlineLvl w:val="1"/>
              <w:rPr>
                <w:rFonts w:eastAsia="Times New Roman"/>
                <w:bCs/>
                <w:color w:val="auto"/>
                <w:lang w:eastAsia="ru-RU"/>
              </w:rPr>
            </w:pPr>
            <w:r w:rsidRPr="003C30C6">
              <w:rPr>
                <w:rFonts w:eastAsia="Times New Roman"/>
                <w:bCs/>
                <w:color w:val="auto"/>
                <w:lang w:eastAsia="ru-RU"/>
              </w:rPr>
              <w:t>Решение комиссии Росреестра может быть оспорено в судебном порядке.</w:t>
            </w:r>
          </w:p>
          <w:p w:rsidR="003C30C6" w:rsidRPr="003C30C6" w:rsidRDefault="003C30C6" w:rsidP="000514D7">
            <w:pPr>
              <w:spacing w:before="100" w:beforeAutospacing="1" w:after="100" w:afterAutospacing="1" w:line="240" w:lineRule="auto"/>
              <w:ind w:left="567" w:right="2007" w:firstLine="708"/>
              <w:jc w:val="both"/>
              <w:outlineLvl w:val="1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bCs/>
                <w:color w:val="auto"/>
                <w:lang w:eastAsia="ru-RU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gridAfter w:val="2"/>
          <w:wAfter w:w="425" w:type="dxa"/>
          <w:trHeight w:val="142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8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206500" cy="1117600"/>
                  <wp:effectExtent l="19050" t="0" r="0" b="0"/>
                  <wp:docPr id="12" name="Рисунок 12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нимо77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29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3C30C6">
              <w:rPr>
                <w:rFonts w:eastAsia="Times New Roman"/>
                <w:b/>
                <w:color w:val="auto"/>
                <w:lang w:eastAsia="ru-RU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3C30C6" w:rsidRPr="003C30C6" w:rsidTr="000514D7">
        <w:trPr>
          <w:trHeight w:val="1800"/>
          <w:tblCellSpacing w:w="0" w:type="dxa"/>
        </w:trPr>
        <w:tc>
          <w:tcPr>
            <w:tcW w:w="467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85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C30C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6" w:type="dxa"/>
            <w:gridSpan w:val="4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line="240" w:lineRule="auto"/>
              <w:ind w:left="567" w:right="2007" w:firstLine="567"/>
              <w:jc w:val="both"/>
              <w:rPr>
                <w:rFonts w:eastAsia="Times New Roman"/>
                <w:color w:val="auto"/>
                <w:lang w:eastAsia="ru-RU"/>
              </w:rPr>
            </w:pPr>
            <w:r w:rsidRPr="003C30C6">
              <w:rPr>
                <w:rFonts w:eastAsia="Times New Roman"/>
                <w:color w:val="auto"/>
                <w:lang w:eastAsia="ru-RU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C30C6" w:rsidRPr="003C30C6" w:rsidRDefault="003C30C6" w:rsidP="000514D7">
            <w:pPr>
              <w:spacing w:after="0" w:line="240" w:lineRule="auto"/>
              <w:ind w:left="567" w:right="2007" w:firstLine="85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00919" w:rsidRPr="003C30C6" w:rsidRDefault="00400919" w:rsidP="000514D7">
      <w:pPr>
        <w:ind w:left="567"/>
        <w:rPr>
          <w:color w:val="auto"/>
          <w:sz w:val="24"/>
          <w:szCs w:val="24"/>
        </w:rPr>
      </w:pPr>
    </w:p>
    <w:sectPr w:rsidR="00400919" w:rsidRPr="003C30C6" w:rsidSect="000514D7">
      <w:pgSz w:w="16838" w:h="11906" w:orient="landscape"/>
      <w:pgMar w:top="284" w:right="110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61" w:rsidRDefault="006D2461" w:rsidP="003C30C6">
      <w:pPr>
        <w:spacing w:after="0" w:line="240" w:lineRule="auto"/>
      </w:pPr>
      <w:r>
        <w:separator/>
      </w:r>
    </w:p>
  </w:endnote>
  <w:endnote w:type="continuationSeparator" w:id="0">
    <w:p w:rsidR="006D2461" w:rsidRDefault="006D2461" w:rsidP="003C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61" w:rsidRDefault="006D2461" w:rsidP="003C30C6">
      <w:pPr>
        <w:spacing w:after="0" w:line="240" w:lineRule="auto"/>
      </w:pPr>
      <w:r>
        <w:separator/>
      </w:r>
    </w:p>
  </w:footnote>
  <w:footnote w:type="continuationSeparator" w:id="0">
    <w:p w:rsidR="006D2461" w:rsidRDefault="006D2461" w:rsidP="003C3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0C6"/>
    <w:rsid w:val="00037FA9"/>
    <w:rsid w:val="000514D7"/>
    <w:rsid w:val="000660BC"/>
    <w:rsid w:val="00287D28"/>
    <w:rsid w:val="002A61B5"/>
    <w:rsid w:val="003C30C6"/>
    <w:rsid w:val="00400919"/>
    <w:rsid w:val="006D2461"/>
    <w:rsid w:val="007205FA"/>
    <w:rsid w:val="00890976"/>
    <w:rsid w:val="009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paragraph" w:styleId="2">
    <w:name w:val="heading 2"/>
    <w:basedOn w:val="a"/>
    <w:link w:val="20"/>
    <w:uiPriority w:val="9"/>
    <w:qFormat/>
    <w:rsid w:val="003C30C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0C6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30C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C6"/>
    <w:rPr>
      <w:b/>
      <w:bCs/>
    </w:rPr>
  </w:style>
  <w:style w:type="character" w:customStyle="1" w:styleId="apple-converted-space">
    <w:name w:val="apple-converted-space"/>
    <w:basedOn w:val="a0"/>
    <w:rsid w:val="003C30C6"/>
  </w:style>
  <w:style w:type="character" w:styleId="a5">
    <w:name w:val="Hyperlink"/>
    <w:basedOn w:val="a0"/>
    <w:uiPriority w:val="99"/>
    <w:semiHidden/>
    <w:unhideWhenUsed/>
    <w:rsid w:val="003C30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C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3C30C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C30C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C30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38582C89143BC9616A09BA45EE25B96C683940CD7214FC50C78462531F52DI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9F53E942C3FE12F349D33B24211DFFE5CE5F2EF66764081418AB085AD42801A9C75B48916165295BB0P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2A02D56646348ABA64661BB4B1597056BD338A19B4AAC4592C186BF4E166B60E90B57A82716F8j3iAH" TargetMode="External"/><Relationship Id="rId14" Type="http://schemas.openxmlformats.org/officeDocument/2006/relationships/hyperlink" Target="consultantplus://offline/ref=CE0DB02085F042E6DDA63D9E8C157713218BA0D024AE247A2DFD4C75B4J66AN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BAD1-78A0-4829-A145-BA8591D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2</cp:revision>
  <dcterms:created xsi:type="dcterms:W3CDTF">2017-06-19T12:41:00Z</dcterms:created>
  <dcterms:modified xsi:type="dcterms:W3CDTF">2017-06-19T12:41:00Z</dcterms:modified>
</cp:coreProperties>
</file>